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AC" w:rsidRPr="000250AC" w:rsidRDefault="000250AC" w:rsidP="000250AC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56"/>
          <w:szCs w:val="56"/>
          <w:lang w:eastAsia="ru-RU"/>
        </w:rPr>
      </w:pPr>
      <w:r w:rsidRPr="000250AC">
        <w:rPr>
          <w:rFonts w:ascii="Arial" w:eastAsia="Times New Roman" w:hAnsi="Arial" w:cs="Arial"/>
          <w:b/>
          <w:bCs/>
          <w:color w:val="1B4666"/>
          <w:kern w:val="36"/>
          <w:sz w:val="56"/>
          <w:szCs w:val="56"/>
          <w:lang w:eastAsia="ru-RU"/>
        </w:rPr>
        <w:t>Организация питания в ДОУ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Соблюдение правильного питания важно во все возрастные периоды, однако в дошкольном возрасте роль питания особенно велика. Это обусловлено рядом причин. Детский организм отличается бурным ростом и развитием: происходит формирование и становление структуры многих органов и систем, совершенствуются их функции, интенсивно идет созревание головного мозга и развитие высшей нервной деятельности.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Основным принципом питания дошкольников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F3F3F"/>
          <w:sz w:val="21"/>
          <w:szCs w:val="21"/>
          <w:lang w:eastAsia="ru-RU"/>
        </w:rPr>
        <w:drawing>
          <wp:inline distT="0" distB="0" distL="0" distR="0">
            <wp:extent cx="4619625" cy="1485900"/>
            <wp:effectExtent l="0" t="0" r="9525" b="0"/>
            <wp:docPr id="1" name="Рисунок 1" descr="C:\Users\1\Desktop\foo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ood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 xml:space="preserve">В МКДОУ "Детский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са</w:t>
      </w: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д"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Солнышко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" соблюдаются принципы рационального, сбалансированного питания детей раннего и дошкольного возраста. Питание осуществляется в соответствии с Перспективным десятидневным меню,  разработанным на основе физиологических потребностей в пищевых веществах и норм питания детей дошкольного возраста, согласованным и утвержденным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Роспотребнадзором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на основании которого составляется рабочее ежедневное меню.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Объем </w:t>
      </w: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пищи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технологические карты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(на основании действующих сборников технологических нормативов).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Дети в детском саду обеспечены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4-х разовым сбалансированным питанием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в соответствии с режимом дня. Режим питания детей с 10-ти,5 часовым пребыванием включает:</w:t>
      </w:r>
    </w:p>
    <w:p w:rsidR="000250AC" w:rsidRPr="000250AC" w:rsidRDefault="000250AC" w:rsidP="000250A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завтрак;</w:t>
      </w:r>
    </w:p>
    <w:p w:rsidR="000250AC" w:rsidRPr="000250AC" w:rsidRDefault="000250AC" w:rsidP="000250A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второй завтрак;</w:t>
      </w:r>
    </w:p>
    <w:p w:rsidR="000250AC" w:rsidRPr="000250AC" w:rsidRDefault="000250AC" w:rsidP="000250A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обед;</w:t>
      </w:r>
    </w:p>
    <w:p w:rsidR="000250AC" w:rsidRPr="000250AC" w:rsidRDefault="000250AC" w:rsidP="000250A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полдник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 xml:space="preserve">Круглогодично </w:t>
      </w: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проводится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искусственная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С-витаминизация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готовых блюд. Для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 xml:space="preserve">профилактики </w:t>
      </w:r>
      <w:proofErr w:type="spellStart"/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йододефицита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в питании используется йодированная соль.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Питание в детском саду организовано в групповых комнатах. Производственный процесс по приготовлению блюд выполняют квалифицированный повар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иего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помощник. Весь цикл приготовления блюд осуществляется на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пищеблоке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состоящем из  цеха и кладовой для хранения продуктов. Помещение пищеблока размещается на первом этаже, имеет отдельный выход и  оснащено оборудованием в соответствии с нормативными требованиями.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Контроль за организацией питания в ДОУ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 xml:space="preserve">Организация питания в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МКДОУ</w:t>
      </w: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"Д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етский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сад "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Солнышко"осуществляется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на основании документов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: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 </w:t>
      </w:r>
    </w:p>
    <w:p w:rsidR="000250AC" w:rsidRPr="000250AC" w:rsidRDefault="000250AC" w:rsidP="000250A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hyperlink r:id="rId7" w:tgtFrame="_blank" w:history="1"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РФ от 29.12.2012 № 273-ФЗ</w:t>
        </w:r>
      </w:hyperlink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"Об образовании в Российской Федерации"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 </w:t>
      </w:r>
    </w:p>
    <w:p w:rsidR="000250AC" w:rsidRPr="000250AC" w:rsidRDefault="000250AC" w:rsidP="000250A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hyperlink r:id="rId8" w:tgtFrame="_blank" w:history="1"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СанПиН 2.3/2.4.3590-20</w:t>
        </w:r>
      </w:hyperlink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"Санитарно-эпидемиологические требования к организации общественного питания населения"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 </w:t>
      </w:r>
    </w:p>
    <w:p w:rsidR="000250AC" w:rsidRPr="000250AC" w:rsidRDefault="000250AC" w:rsidP="000250A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hyperlink r:id="rId9" w:tgtFrame="_blank" w:history="1"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Минздравсоцразвития</w:t>
        </w:r>
        <w:proofErr w:type="spellEnd"/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РФ и </w:t>
        </w:r>
        <w:proofErr w:type="spellStart"/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РФ от 11.03.2012 № 213н/178</w:t>
        </w:r>
      </w:hyperlink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"Об утверждении методических рекомендаций по организации питания обучающихся и воспитанников образовательных учреждений"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 </w:t>
      </w:r>
    </w:p>
    <w:p w:rsidR="000250AC" w:rsidRPr="000250AC" w:rsidRDefault="000250AC" w:rsidP="000250A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hyperlink r:id="rId10" w:tgtFrame="_blank" w:history="1">
        <w:r w:rsidRPr="000250AC">
          <w:rPr>
            <w:rFonts w:ascii="Arial" w:eastAsia="Times New Roman" w:hAnsi="Arial" w:cs="Arial"/>
            <w:color w:val="3366FF"/>
            <w:sz w:val="21"/>
            <w:szCs w:val="21"/>
            <w:u w:val="single"/>
            <w:bdr w:val="none" w:sz="0" w:space="0" w:color="auto" w:frame="1"/>
            <w:lang w:eastAsia="ru-RU"/>
          </w:rPr>
          <w:t>Методические рекомендации 2.4.5.0107-15</w:t>
        </w:r>
      </w:hyperlink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"Организация питания детей дошкольного и школьного возраста в организованных коллективах"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завхозом.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F3F3F"/>
          <w:sz w:val="21"/>
          <w:szCs w:val="21"/>
          <w:lang w:eastAsia="ru-RU"/>
        </w:rPr>
        <w:drawing>
          <wp:inline distT="0" distB="0" distL="0" distR="0">
            <wp:extent cx="2343150" cy="1952625"/>
            <wp:effectExtent l="0" t="0" r="0" b="9525"/>
            <wp:docPr id="2" name="Рисунок 2" descr="C:\Users\1\Desktop\kontrol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kontrol_pitan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Готовая пища выдается только после снятия пробы и соответствующей записи в журнале результатов оценки готовых блюд.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Организация питания постоянно находится под контролем администрации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. Контроль качества питания и санитарно-гигиеническое состояние пищеблока осуществляет заведующий, медработник, повар детского сада. Учреждение постоянно проходит проверки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Роспотребнадзора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,  "Отдела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образованияНогайского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муниципального  района". Результативность работы ДОУ в течени</w:t>
      </w: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и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времени функционирования детского сада признается удовлетворительной.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 xml:space="preserve">Медицинский </w:t>
      </w:r>
      <w:proofErr w:type="gramStart"/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контроль за</w:t>
      </w:r>
      <w:proofErr w:type="gramEnd"/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 xml:space="preserve"> питанием 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 МКДОУ включает:</w:t>
      </w:r>
    </w:p>
    <w:p w:rsidR="000250AC" w:rsidRPr="000250AC" w:rsidRDefault="000250AC" w:rsidP="000250A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контроль за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качеством поступающих продуктов;</w:t>
      </w:r>
    </w:p>
    <w:p w:rsidR="000250AC" w:rsidRPr="000250AC" w:rsidRDefault="000250AC" w:rsidP="000250A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контроль за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условиями хранения продуктов и соблюдением сроков реализации;</w:t>
      </w:r>
    </w:p>
    <w:p w:rsidR="000250AC" w:rsidRPr="000250AC" w:rsidRDefault="000250AC" w:rsidP="000250A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контроль за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технологией приготовления пищи и качеством готовых блюд (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бракеражная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комиссия);</w:t>
      </w:r>
    </w:p>
    <w:p w:rsidR="000250AC" w:rsidRPr="000250AC" w:rsidRDefault="000250AC" w:rsidP="000250A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санитарно-эпидемический </w:t>
      </w: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контроль за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работой пищеблока и организацией обработки посуды, кухонного инвентаря;</w:t>
      </w:r>
    </w:p>
    <w:p w:rsidR="000250AC" w:rsidRPr="000250AC" w:rsidRDefault="000250AC" w:rsidP="000250A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proofErr w:type="gram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контроль за</w:t>
      </w:r>
      <w:proofErr w:type="gram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соблюдением правил личной гигиены сотрудников и их здоровья.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В детском саду имеется вся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необходимая документация по питанию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которая ведется по форме и заполняется своевременно.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Локальные документы МКДОУ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Положение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обракеражной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комиссии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План работы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бракеражной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комиссии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нагод</w:t>
      </w:r>
      <w:proofErr w:type="spellEnd"/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Положение об административном контроле организации и качества  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питани</w:t>
      </w:r>
      <w:proofErr w:type="spellEnd"/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Программа производственного контроля 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Примерное 10-ти дневное цикличное меню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Реестр приказов по организации питания в ДОУ и др.</w:t>
      </w:r>
    </w:p>
    <w:p w:rsidR="000250AC" w:rsidRPr="000250AC" w:rsidRDefault="000250AC" w:rsidP="000250AC">
      <w:pPr>
        <w:pStyle w:val="1"/>
        <w:shd w:val="clear" w:color="auto" w:fill="FFFFFF"/>
        <w:spacing w:after="168"/>
        <w:rPr>
          <w:rFonts w:ascii="Arial" w:eastAsia="Times New Roman" w:hAnsi="Arial" w:cs="Arial"/>
          <w:color w:val="3F3F3F"/>
          <w:sz w:val="21"/>
          <w:szCs w:val="21"/>
          <w:bdr w:val="none" w:sz="0" w:space="0" w:color="auto" w:frame="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bdr w:val="none" w:sz="0" w:space="0" w:color="auto" w:frame="1"/>
          <w:lang w:eastAsia="ru-RU"/>
        </w:rPr>
        <w:t>Рекомендации для роди</w:t>
      </w:r>
      <w:bookmarkStart w:id="0" w:name="_GoBack"/>
      <w:bookmarkEnd w:id="0"/>
      <w:r w:rsidRPr="000250AC">
        <w:rPr>
          <w:rFonts w:ascii="Arial" w:eastAsia="Times New Roman" w:hAnsi="Arial" w:cs="Arial"/>
          <w:color w:val="3F3F3F"/>
          <w:sz w:val="21"/>
          <w:szCs w:val="21"/>
          <w:bdr w:val="none" w:sz="0" w:space="0" w:color="auto" w:frame="1"/>
          <w:lang w:eastAsia="ru-RU"/>
        </w:rPr>
        <w:t>телей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  <w:t>Важным фактором, лежащим в основе здоровья и нормального развития детей любого возраста, является полноценное в количественном и качественном отношении питание.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 позиции современной науки о питании необходимо </w:t>
      </w:r>
      <w:r w:rsidRPr="000250AC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соблюдение следующих условий</w:t>
      </w: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:</w:t>
      </w:r>
    </w:p>
    <w:p w:rsidR="000250AC" w:rsidRPr="000250AC" w:rsidRDefault="000250AC" w:rsidP="000250A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Ребенок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0250AC" w:rsidRPr="000250AC" w:rsidRDefault="000250AC" w:rsidP="000250A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Пища должна быть разнообразной, сбалансированной и содержать необходимое соотношение компонентов питания.</w:t>
      </w:r>
    </w:p>
    <w:p w:rsidR="000250AC" w:rsidRPr="000250AC" w:rsidRDefault="000250AC" w:rsidP="000250A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Питание должно </w:t>
      </w:r>
      <w:proofErr w:type="spellStart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опережающе</w:t>
      </w:r>
      <w:proofErr w:type="spellEnd"/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Большинство дошкольников посещают детский сад, где получают в день необходимое по возрасту питание. Домашний рацион питания такого "организованного" ребенка должен дополнять, а не заменять рацион детского сада. С этой целью в каждой группе вывешивается ежедневное меню, чтобы родители могли с ним ознакомиться.</w:t>
      </w:r>
    </w:p>
    <w:p w:rsidR="000250AC" w:rsidRPr="000250AC" w:rsidRDefault="000250AC" w:rsidP="000250A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0250AC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</w:t>
      </w:r>
    </w:p>
    <w:p w:rsidR="00BE148B" w:rsidRDefault="00BE148B"/>
    <w:sectPr w:rsidR="00BE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CDC"/>
    <w:multiLevelType w:val="multilevel"/>
    <w:tmpl w:val="E83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4476F"/>
    <w:multiLevelType w:val="multilevel"/>
    <w:tmpl w:val="4272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F74D6"/>
    <w:multiLevelType w:val="multilevel"/>
    <w:tmpl w:val="0C9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679AA"/>
    <w:multiLevelType w:val="multilevel"/>
    <w:tmpl w:val="A68E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87504"/>
    <w:multiLevelType w:val="multilevel"/>
    <w:tmpl w:val="F4C4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E4FF3"/>
    <w:multiLevelType w:val="multilevel"/>
    <w:tmpl w:val="A4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0C43B4"/>
    <w:multiLevelType w:val="multilevel"/>
    <w:tmpl w:val="393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747C86"/>
    <w:multiLevelType w:val="multilevel"/>
    <w:tmpl w:val="0E9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AC"/>
    <w:rsid w:val="000250AC"/>
    <w:rsid w:val="00B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62767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1200134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2021-03-17T18:17:00Z</dcterms:created>
  <dcterms:modified xsi:type="dcterms:W3CDTF">2021-03-17T18:20:00Z</dcterms:modified>
</cp:coreProperties>
</file>